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5AD5" w14:textId="772A8597" w:rsidR="00CF35B9" w:rsidRPr="0078368A" w:rsidRDefault="00CF35B9" w:rsidP="00AC408F">
      <w:pPr>
        <w:pStyle w:val="Heading3"/>
      </w:pPr>
      <w:r w:rsidRPr="0078368A">
        <w:t>МЕХАНИЗЪМ</w:t>
      </w:r>
    </w:p>
    <w:p w14:paraId="6E6955CC" w14:textId="513EE4CB" w:rsidR="00180DED" w:rsidRDefault="00180DED" w:rsidP="00180DED">
      <w:pPr>
        <w:spacing w:line="240" w:lineRule="auto"/>
        <w:jc w:val="center"/>
      </w:pPr>
      <w:r>
        <w:t xml:space="preserve">и правила </w:t>
      </w:r>
      <w:r w:rsidR="00CF35B9" w:rsidRPr="00510883">
        <w:t xml:space="preserve">за </w:t>
      </w:r>
      <w:r>
        <w:t xml:space="preserve">прозрачен конкурсен </w:t>
      </w:r>
      <w:r w:rsidR="00CF35B9" w:rsidRPr="00510883">
        <w:t>подбор на кандидатите за участие</w:t>
      </w:r>
      <w:r>
        <w:t xml:space="preserve"> във</w:t>
      </w:r>
    </w:p>
    <w:p w14:paraId="4FC31025" w14:textId="57466629" w:rsidR="00CF35B9" w:rsidRPr="0078368A" w:rsidRDefault="00510883" w:rsidP="00510883">
      <w:pPr>
        <w:spacing w:line="240" w:lineRule="auto"/>
        <w:jc w:val="center"/>
      </w:pPr>
      <w:r>
        <w:t xml:space="preserve">втория етап на </w:t>
      </w:r>
      <w:r w:rsidR="00CF35B9" w:rsidRPr="00510883">
        <w:t>Национална програма „Млади учени и постдокторанти - 2“</w:t>
      </w:r>
      <w:r>
        <w:t xml:space="preserve"> </w:t>
      </w:r>
      <w:r w:rsidR="00CF35B9" w:rsidRPr="00510883">
        <w:t>в Лесотехнически</w:t>
      </w:r>
      <w:r>
        <w:t>я</w:t>
      </w:r>
      <w:r w:rsidR="00CF35B9" w:rsidRPr="00510883">
        <w:t xml:space="preserve"> университет </w:t>
      </w:r>
    </w:p>
    <w:p w14:paraId="2B518D9E" w14:textId="77777777" w:rsidR="00510883" w:rsidRDefault="00510883" w:rsidP="00510883"/>
    <w:p w14:paraId="21A6CDDB" w14:textId="77777777" w:rsidR="00510883" w:rsidRPr="00727F0D" w:rsidRDefault="00510883" w:rsidP="00727F0D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727F0D">
        <w:rPr>
          <w:szCs w:val="24"/>
        </w:rPr>
        <w:t>С Решение № 206/07.04.2022 г. на Министерския съвет е одобрена Националната програма „Млади учени и постдокторанти – 2“. В съответствие с отчетените резултати от научноизследователската дейност за последните три години, Лесотехническият университет е сред бенефициентите на Програмата. Указанията за изпълнението на Програмата са формулирани със заповед № РД09-3450/30.06.2022 г. на министъра на образованието и науката.</w:t>
      </w:r>
    </w:p>
    <w:p w14:paraId="78C5B570" w14:textId="77777777" w:rsidR="00520B8D" w:rsidRDefault="00CF35B9" w:rsidP="00520B8D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510883">
        <w:rPr>
          <w:szCs w:val="24"/>
        </w:rPr>
        <w:t>Участниците в НП „Млади учени и постдокторанти</w:t>
      </w:r>
      <w:r w:rsidR="00510883" w:rsidRPr="00510883">
        <w:rPr>
          <w:szCs w:val="24"/>
        </w:rPr>
        <w:t xml:space="preserve"> - 2</w:t>
      </w:r>
      <w:r w:rsidRPr="00510883">
        <w:rPr>
          <w:szCs w:val="24"/>
        </w:rPr>
        <w:t xml:space="preserve">“ (Програмата) се избират въз основа на конкурс, провеждан от </w:t>
      </w:r>
      <w:r w:rsidR="00510883" w:rsidRPr="00510883">
        <w:rPr>
          <w:szCs w:val="24"/>
        </w:rPr>
        <w:t xml:space="preserve">Комисията за организацията, провеждането и отчитането на конкурс за подбор на кандидати за участие във втория етап на Програмата, </w:t>
      </w:r>
      <w:r w:rsidRPr="00510883">
        <w:rPr>
          <w:szCs w:val="24"/>
        </w:rPr>
        <w:t>назначена със заповед на Ректора на ЛТУ № ЗПС-</w:t>
      </w:r>
      <w:r w:rsidR="00510883" w:rsidRPr="00510883">
        <w:rPr>
          <w:szCs w:val="24"/>
        </w:rPr>
        <w:t>409</w:t>
      </w:r>
      <w:r w:rsidRPr="00510883">
        <w:rPr>
          <w:szCs w:val="24"/>
        </w:rPr>
        <w:t>/0</w:t>
      </w:r>
      <w:r w:rsidR="00510883" w:rsidRPr="00510883">
        <w:rPr>
          <w:szCs w:val="24"/>
        </w:rPr>
        <w:t>1</w:t>
      </w:r>
      <w:r w:rsidRPr="00510883">
        <w:rPr>
          <w:szCs w:val="24"/>
        </w:rPr>
        <w:t>.0</w:t>
      </w:r>
      <w:r w:rsidR="00510883" w:rsidRPr="00510883">
        <w:rPr>
          <w:szCs w:val="24"/>
        </w:rPr>
        <w:t>7</w:t>
      </w:r>
      <w:r w:rsidRPr="00510883">
        <w:rPr>
          <w:szCs w:val="24"/>
        </w:rPr>
        <w:t>.202</w:t>
      </w:r>
      <w:r w:rsidR="00510883" w:rsidRPr="00510883">
        <w:rPr>
          <w:szCs w:val="24"/>
        </w:rPr>
        <w:t>4</w:t>
      </w:r>
      <w:r w:rsidRPr="00510883">
        <w:rPr>
          <w:szCs w:val="24"/>
        </w:rPr>
        <w:t xml:space="preserve"> г. и факултетните комисии, назначени със заповед на съответния декан</w:t>
      </w:r>
      <w:r w:rsidR="00510883" w:rsidRPr="00510883">
        <w:rPr>
          <w:szCs w:val="24"/>
        </w:rPr>
        <w:t>.</w:t>
      </w:r>
    </w:p>
    <w:p w14:paraId="47749948" w14:textId="38A3A050" w:rsidR="00F236D0" w:rsidRPr="00520B8D" w:rsidRDefault="00F236D0" w:rsidP="00520B8D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520B8D">
        <w:rPr>
          <w:szCs w:val="24"/>
        </w:rPr>
        <w:t xml:space="preserve">Общата сума на </w:t>
      </w:r>
      <w:r w:rsidR="00520B8D">
        <w:rPr>
          <w:szCs w:val="24"/>
        </w:rPr>
        <w:t xml:space="preserve">финансовите </w:t>
      </w:r>
      <w:r w:rsidRPr="00520B8D">
        <w:rPr>
          <w:szCs w:val="24"/>
        </w:rPr>
        <w:t xml:space="preserve">средства за ЛТУ за втория етап на Програмата </w:t>
      </w:r>
      <w:r w:rsidR="00520B8D" w:rsidRPr="00520B8D">
        <w:rPr>
          <w:szCs w:val="24"/>
        </w:rPr>
        <w:t>възлизат на</w:t>
      </w:r>
      <w:r w:rsidRPr="00520B8D">
        <w:rPr>
          <w:szCs w:val="24"/>
        </w:rPr>
        <w:t xml:space="preserve"> 136</w:t>
      </w:r>
      <w:r w:rsidR="00520B8D" w:rsidRPr="00520B8D">
        <w:rPr>
          <w:szCs w:val="24"/>
        </w:rPr>
        <w:t xml:space="preserve"> </w:t>
      </w:r>
      <w:r w:rsidRPr="00520B8D">
        <w:rPr>
          <w:szCs w:val="24"/>
        </w:rPr>
        <w:t>165 лв.</w:t>
      </w:r>
      <w:r w:rsidR="00520B8D">
        <w:rPr>
          <w:szCs w:val="24"/>
        </w:rPr>
        <w:t xml:space="preserve"> Средствата за модул „</w:t>
      </w:r>
      <w:r w:rsidR="00520B8D" w:rsidRPr="00520B8D">
        <w:rPr>
          <w:szCs w:val="24"/>
        </w:rPr>
        <w:t xml:space="preserve">Млади учени“  </w:t>
      </w:r>
      <w:r w:rsidR="00520B8D">
        <w:rPr>
          <w:szCs w:val="24"/>
        </w:rPr>
        <w:t xml:space="preserve">са в размер на </w:t>
      </w:r>
      <w:r w:rsidR="00520B8D" w:rsidRPr="00520B8D">
        <w:rPr>
          <w:szCs w:val="24"/>
        </w:rPr>
        <w:t>76 165 лв (55.9%)</w:t>
      </w:r>
      <w:r w:rsidR="00520B8D">
        <w:rPr>
          <w:szCs w:val="24"/>
        </w:rPr>
        <w:t xml:space="preserve">, а по модул „Постдокторанти“ - </w:t>
      </w:r>
      <w:r w:rsidR="00520B8D" w:rsidRPr="00520B8D">
        <w:rPr>
          <w:szCs w:val="24"/>
        </w:rPr>
        <w:t>60 000 лв (44.1%)</w:t>
      </w:r>
      <w:r w:rsidR="00520B8D">
        <w:rPr>
          <w:szCs w:val="24"/>
        </w:rPr>
        <w:t xml:space="preserve">. Разпределението на средствата е прието на заседание на Академичния съвет на ЛТУ </w:t>
      </w:r>
      <w:r w:rsidR="00520B8D">
        <w:rPr>
          <w:szCs w:val="24"/>
          <w:lang w:val="en-US"/>
        </w:rPr>
        <w:t>(</w:t>
      </w:r>
      <w:r w:rsidR="00520B8D">
        <w:rPr>
          <w:szCs w:val="24"/>
        </w:rPr>
        <w:t>протокол № 5</w:t>
      </w:r>
      <w:r w:rsidR="00520B8D">
        <w:rPr>
          <w:szCs w:val="24"/>
          <w:lang w:val="en-US"/>
        </w:rPr>
        <w:t>/26.0</w:t>
      </w:r>
      <w:r w:rsidR="00AD022C">
        <w:rPr>
          <w:szCs w:val="24"/>
          <w:lang w:val="en-US"/>
        </w:rPr>
        <w:t>6</w:t>
      </w:r>
      <w:r w:rsidR="00520B8D">
        <w:rPr>
          <w:szCs w:val="24"/>
          <w:lang w:val="en-US"/>
        </w:rPr>
        <w:t xml:space="preserve">.2024 </w:t>
      </w:r>
      <w:r w:rsidR="00520B8D">
        <w:rPr>
          <w:szCs w:val="24"/>
        </w:rPr>
        <w:t>г.</w:t>
      </w:r>
      <w:r w:rsidR="00520B8D">
        <w:rPr>
          <w:szCs w:val="24"/>
          <w:lang w:val="en-US"/>
        </w:rPr>
        <w:t>)</w:t>
      </w:r>
      <w:r w:rsidR="00727F0D">
        <w:rPr>
          <w:szCs w:val="24"/>
        </w:rPr>
        <w:t>.</w:t>
      </w:r>
    </w:p>
    <w:p w14:paraId="60E626C4" w14:textId="4AEA5702" w:rsidR="00727F0D" w:rsidRDefault="00727F0D" w:rsidP="00727F0D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727F0D">
        <w:rPr>
          <w:szCs w:val="24"/>
        </w:rPr>
        <w:t>В съответствие с указанията на Програмата, финансовите средства по модул „</w:t>
      </w:r>
      <w:r>
        <w:rPr>
          <w:szCs w:val="24"/>
        </w:rPr>
        <w:t>М</w:t>
      </w:r>
      <w:r w:rsidRPr="00727F0D">
        <w:rPr>
          <w:szCs w:val="24"/>
        </w:rPr>
        <w:t>лади учени“ са разпределени между основните звена (факултетите) на ЛТУ според оценките, определени по Правилника за наблюдение и оценка на научноизследователската дейност, осъществявана от висшите училища и научните организации</w:t>
      </w:r>
      <w:r>
        <w:rPr>
          <w:szCs w:val="24"/>
        </w:rPr>
        <w:t>,</w:t>
      </w:r>
      <w:r w:rsidRPr="00727F0D">
        <w:rPr>
          <w:szCs w:val="24"/>
        </w:rPr>
        <w:t xml:space="preserve"> както следва (</w:t>
      </w:r>
      <w:r>
        <w:rPr>
          <w:szCs w:val="24"/>
        </w:rPr>
        <w:t>т</w:t>
      </w:r>
      <w:r w:rsidRPr="00727F0D">
        <w:rPr>
          <w:szCs w:val="24"/>
        </w:rPr>
        <w:t>абл. 1):</w:t>
      </w:r>
    </w:p>
    <w:p w14:paraId="1D96E2ED" w14:textId="77777777" w:rsidR="00727F0D" w:rsidRPr="00727F0D" w:rsidRDefault="00727F0D" w:rsidP="00727F0D">
      <w:pPr>
        <w:pStyle w:val="ListParagraph"/>
        <w:tabs>
          <w:tab w:val="left" w:pos="993"/>
        </w:tabs>
        <w:spacing w:line="240" w:lineRule="auto"/>
        <w:rPr>
          <w:szCs w:val="24"/>
        </w:rPr>
      </w:pPr>
    </w:p>
    <w:p w14:paraId="6AFE5E89" w14:textId="77777777" w:rsidR="00727F0D" w:rsidRDefault="00727F0D" w:rsidP="00727F0D">
      <w:pPr>
        <w:spacing w:line="276" w:lineRule="auto"/>
        <w:ind w:left="360"/>
      </w:pPr>
      <w:r>
        <w:t xml:space="preserve">Таблица 1. Разпределение на финансовите средства за подкрепа на млади учени по факултети в ЛТУ за 2024 г. </w:t>
      </w:r>
    </w:p>
    <w:tbl>
      <w:tblPr>
        <w:tblW w:w="484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26"/>
        <w:gridCol w:w="1986"/>
        <w:gridCol w:w="2503"/>
      </w:tblGrid>
      <w:tr w:rsidR="00727F0D" w:rsidRPr="00FB46BC" w14:paraId="054F1EFB" w14:textId="77777777" w:rsidTr="00727F0D">
        <w:tc>
          <w:tcPr>
            <w:tcW w:w="1216" w:type="pct"/>
            <w:shd w:val="clear" w:color="auto" w:fill="auto"/>
          </w:tcPr>
          <w:p w14:paraId="3B7DA73B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Основни звена на ЛТУ (факултети)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</w:tcPr>
          <w:p w14:paraId="5E8546D7" w14:textId="2C022E86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Средна оценка за приноса на факултета за период</w:t>
            </w:r>
            <w:r w:rsidR="00E84DF3">
              <w:rPr>
                <w:rFonts w:eastAsia="Calibri"/>
                <w:sz w:val="22"/>
              </w:rPr>
              <w:t>а 2021-2023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39FBA017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Принос към научната дейност на ЛТУ, %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</w:tcPr>
          <w:p w14:paraId="0539611C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Финансово разпределение на средствата за втория етап, лв.</w:t>
            </w:r>
          </w:p>
        </w:tc>
      </w:tr>
      <w:tr w:rsidR="00727F0D" w:rsidRPr="00FB46BC" w14:paraId="3C52226B" w14:textId="77777777" w:rsidTr="00727F0D">
        <w:trPr>
          <w:trHeight w:val="397"/>
        </w:trPr>
        <w:tc>
          <w:tcPr>
            <w:tcW w:w="1216" w:type="pct"/>
            <w:shd w:val="clear" w:color="auto" w:fill="auto"/>
          </w:tcPr>
          <w:p w14:paraId="47643250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ФГС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0A91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8.467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3EE7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  <w:lang w:val="en-US"/>
              </w:rPr>
            </w:pPr>
            <w:r w:rsidRPr="00B42344">
              <w:rPr>
                <w:rFonts w:eastAsia="Calibri"/>
                <w:sz w:val="22"/>
              </w:rPr>
              <w:t>2</w:t>
            </w:r>
            <w:r w:rsidRPr="00B42344">
              <w:rPr>
                <w:rFonts w:eastAsia="Calibri"/>
                <w:sz w:val="22"/>
                <w:lang w:val="en-US"/>
              </w:rPr>
              <w:t>4</w:t>
            </w:r>
            <w:r w:rsidRPr="00B42344">
              <w:rPr>
                <w:rFonts w:eastAsia="Calibri"/>
                <w:sz w:val="22"/>
              </w:rPr>
              <w:t>.</w:t>
            </w:r>
            <w:r w:rsidRPr="00B42344">
              <w:rPr>
                <w:rFonts w:eastAsia="Calibri"/>
                <w:sz w:val="22"/>
                <w:lang w:val="en-US"/>
              </w:rPr>
              <w:t>4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2924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18</w:t>
            </w:r>
            <w:r w:rsidRPr="00B42344">
              <w:rPr>
                <w:rFonts w:eastAsia="Calibri"/>
                <w:sz w:val="22"/>
                <w:lang w:val="en-US"/>
              </w:rPr>
              <w:t xml:space="preserve"> </w:t>
            </w:r>
            <w:r w:rsidRPr="00B42344">
              <w:rPr>
                <w:rFonts w:eastAsia="Calibri"/>
                <w:sz w:val="22"/>
              </w:rPr>
              <w:t>584</w:t>
            </w:r>
          </w:p>
        </w:tc>
      </w:tr>
      <w:tr w:rsidR="00727F0D" w:rsidRPr="00FB46BC" w14:paraId="74848F6E" w14:textId="77777777" w:rsidTr="00727F0D">
        <w:trPr>
          <w:trHeight w:val="397"/>
        </w:trPr>
        <w:tc>
          <w:tcPr>
            <w:tcW w:w="1216" w:type="pct"/>
            <w:shd w:val="clear" w:color="auto" w:fill="auto"/>
          </w:tcPr>
          <w:p w14:paraId="35FF42A1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ФГП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F993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  <w:lang w:val="en-US"/>
              </w:rPr>
            </w:pPr>
            <w:r w:rsidRPr="00B42344">
              <w:rPr>
                <w:rFonts w:eastAsia="Calibri"/>
                <w:sz w:val="22"/>
              </w:rPr>
              <w:t>9.</w:t>
            </w:r>
            <w:r w:rsidRPr="00B42344">
              <w:rPr>
                <w:rFonts w:eastAsia="Calibri"/>
                <w:sz w:val="22"/>
                <w:lang w:val="en-US"/>
              </w:rPr>
              <w:t>333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4323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  <w:lang w:val="en-US"/>
              </w:rPr>
            </w:pPr>
            <w:r w:rsidRPr="00B42344">
              <w:rPr>
                <w:rFonts w:eastAsia="Calibri"/>
                <w:sz w:val="22"/>
              </w:rPr>
              <w:t>2</w:t>
            </w:r>
            <w:r w:rsidRPr="00B42344">
              <w:rPr>
                <w:rFonts w:eastAsia="Calibri"/>
                <w:sz w:val="22"/>
                <w:lang w:val="en-US"/>
              </w:rPr>
              <w:t>6</w:t>
            </w:r>
            <w:r w:rsidRPr="00B42344">
              <w:rPr>
                <w:rFonts w:eastAsia="Calibri"/>
                <w:sz w:val="22"/>
              </w:rPr>
              <w:t>.</w:t>
            </w:r>
            <w:r w:rsidRPr="00B42344">
              <w:rPr>
                <w:rFonts w:eastAsia="Calibri"/>
                <w:sz w:val="22"/>
                <w:lang w:val="en-US"/>
              </w:rPr>
              <w:t>9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5B2C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20 </w:t>
            </w:r>
            <w:r w:rsidRPr="00B42344">
              <w:rPr>
                <w:rFonts w:eastAsia="Calibri"/>
                <w:sz w:val="22"/>
                <w:lang w:val="en-US"/>
              </w:rPr>
              <w:t>490</w:t>
            </w:r>
            <w:r w:rsidRPr="00B42344">
              <w:rPr>
                <w:rFonts w:eastAsia="Calibri"/>
                <w:sz w:val="22"/>
              </w:rPr>
              <w:t xml:space="preserve"> </w:t>
            </w:r>
          </w:p>
        </w:tc>
      </w:tr>
      <w:tr w:rsidR="00727F0D" w:rsidRPr="00FB46BC" w14:paraId="563D734D" w14:textId="77777777" w:rsidTr="00727F0D">
        <w:trPr>
          <w:trHeight w:val="397"/>
        </w:trPr>
        <w:tc>
          <w:tcPr>
            <w:tcW w:w="1216" w:type="pct"/>
            <w:shd w:val="clear" w:color="auto" w:fill="auto"/>
          </w:tcPr>
          <w:p w14:paraId="1C7F771C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ФЕЛА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224B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7.200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8F22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  <w:lang w:val="en-US"/>
              </w:rPr>
            </w:pPr>
            <w:r w:rsidRPr="00B42344">
              <w:rPr>
                <w:rFonts w:eastAsia="Calibri"/>
                <w:sz w:val="22"/>
              </w:rPr>
              <w:t>20.</w:t>
            </w:r>
            <w:r w:rsidRPr="00B42344">
              <w:rPr>
                <w:rFonts w:eastAsia="Calibri"/>
                <w:sz w:val="22"/>
                <w:lang w:val="en-US"/>
              </w:rPr>
              <w:t>7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D6CE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15 </w:t>
            </w:r>
            <w:r w:rsidRPr="00B42344">
              <w:rPr>
                <w:rFonts w:eastAsia="Calibri"/>
                <w:sz w:val="22"/>
                <w:lang w:val="en-US"/>
              </w:rPr>
              <w:t>765</w:t>
            </w:r>
            <w:r w:rsidRPr="00B42344">
              <w:rPr>
                <w:rFonts w:eastAsia="Calibri"/>
                <w:sz w:val="22"/>
              </w:rPr>
              <w:t xml:space="preserve"> </w:t>
            </w:r>
          </w:p>
        </w:tc>
      </w:tr>
      <w:tr w:rsidR="00727F0D" w:rsidRPr="00FB46BC" w14:paraId="3408FC3F" w14:textId="77777777" w:rsidTr="00727F0D">
        <w:trPr>
          <w:trHeight w:val="397"/>
        </w:trPr>
        <w:tc>
          <w:tcPr>
            <w:tcW w:w="1216" w:type="pct"/>
            <w:shd w:val="clear" w:color="auto" w:fill="auto"/>
          </w:tcPr>
          <w:p w14:paraId="0E7D4258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АФ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D69F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4.313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9BDA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  <w:lang w:val="en-US"/>
              </w:rPr>
            </w:pPr>
            <w:r w:rsidRPr="00B42344">
              <w:rPr>
                <w:rFonts w:eastAsia="Calibri"/>
                <w:sz w:val="22"/>
              </w:rPr>
              <w:t>1</w:t>
            </w:r>
            <w:r w:rsidRPr="00B42344">
              <w:rPr>
                <w:rFonts w:eastAsia="Calibri"/>
                <w:sz w:val="22"/>
                <w:lang w:val="en-US"/>
              </w:rPr>
              <w:t>2</w:t>
            </w:r>
            <w:r w:rsidRPr="00B42344">
              <w:rPr>
                <w:rFonts w:eastAsia="Calibri"/>
                <w:sz w:val="22"/>
              </w:rPr>
              <w:t>.</w:t>
            </w:r>
            <w:r w:rsidRPr="00B42344">
              <w:rPr>
                <w:rFonts w:eastAsia="Calibri"/>
                <w:sz w:val="22"/>
                <w:lang w:val="en-US"/>
              </w:rPr>
              <w:t>5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F167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  <w:lang w:val="en-US"/>
              </w:rPr>
            </w:pPr>
            <w:r w:rsidRPr="00B42344">
              <w:rPr>
                <w:rFonts w:eastAsia="Calibri"/>
                <w:sz w:val="22"/>
              </w:rPr>
              <w:t>9 52</w:t>
            </w:r>
            <w:r w:rsidRPr="00B42344">
              <w:rPr>
                <w:rFonts w:eastAsia="Calibri"/>
                <w:sz w:val="22"/>
                <w:lang w:val="en-US"/>
              </w:rPr>
              <w:t>1</w:t>
            </w:r>
          </w:p>
        </w:tc>
      </w:tr>
      <w:tr w:rsidR="00727F0D" w:rsidRPr="00FB46BC" w14:paraId="5986F869" w14:textId="77777777" w:rsidTr="00727F0D">
        <w:trPr>
          <w:trHeight w:val="397"/>
        </w:trPr>
        <w:tc>
          <w:tcPr>
            <w:tcW w:w="1216" w:type="pct"/>
            <w:shd w:val="clear" w:color="auto" w:fill="auto"/>
          </w:tcPr>
          <w:p w14:paraId="57C1D23B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ФВМ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F700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5.233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A579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1</w:t>
            </w:r>
            <w:r w:rsidRPr="00B42344">
              <w:rPr>
                <w:rFonts w:eastAsia="Calibri"/>
                <w:sz w:val="22"/>
                <w:lang w:val="en-US"/>
              </w:rPr>
              <w:t>5</w:t>
            </w:r>
            <w:r w:rsidRPr="00B42344">
              <w:rPr>
                <w:rFonts w:eastAsia="Calibri"/>
                <w:sz w:val="22"/>
              </w:rPr>
              <w:t>.5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F111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11</w:t>
            </w:r>
            <w:r w:rsidRPr="00B42344">
              <w:rPr>
                <w:rFonts w:eastAsia="Calibri"/>
                <w:sz w:val="22"/>
                <w:lang w:val="en-US"/>
              </w:rPr>
              <w:t xml:space="preserve"> </w:t>
            </w:r>
            <w:r w:rsidRPr="00B42344">
              <w:rPr>
                <w:rFonts w:eastAsia="Calibri"/>
                <w:sz w:val="22"/>
              </w:rPr>
              <w:t>805</w:t>
            </w:r>
          </w:p>
        </w:tc>
      </w:tr>
      <w:tr w:rsidR="00727F0D" w:rsidRPr="00FB46BC" w14:paraId="673CB10B" w14:textId="77777777" w:rsidTr="00727F0D">
        <w:trPr>
          <w:trHeight w:val="397"/>
        </w:trPr>
        <w:tc>
          <w:tcPr>
            <w:tcW w:w="1216" w:type="pct"/>
            <w:shd w:val="clear" w:color="auto" w:fill="auto"/>
          </w:tcPr>
          <w:p w14:paraId="29F4A8D1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b/>
                <w:sz w:val="22"/>
              </w:rPr>
            </w:pPr>
            <w:r w:rsidRPr="00B42344">
              <w:rPr>
                <w:rFonts w:eastAsia="Calibri"/>
                <w:b/>
                <w:sz w:val="22"/>
              </w:rPr>
              <w:t>ОБЩО ЗА ЛТУ: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1725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color w:val="FF0000"/>
                <w:sz w:val="2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A946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B42344">
              <w:rPr>
                <w:rFonts w:eastAsia="Calibri"/>
                <w:sz w:val="22"/>
              </w:rPr>
              <w:t>100.00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E389" w14:textId="77777777" w:rsidR="00727F0D" w:rsidRPr="00B42344" w:rsidRDefault="00727F0D" w:rsidP="00727F0D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lang w:val="en-US"/>
              </w:rPr>
            </w:pPr>
            <w:r w:rsidRPr="00B42344">
              <w:rPr>
                <w:rFonts w:eastAsia="Calibri"/>
                <w:b/>
                <w:bCs/>
                <w:sz w:val="22"/>
              </w:rPr>
              <w:t>76 165</w:t>
            </w:r>
          </w:p>
        </w:tc>
      </w:tr>
    </w:tbl>
    <w:p w14:paraId="5EC0C45B" w14:textId="77777777" w:rsidR="00727F0D" w:rsidRPr="00727F0D" w:rsidRDefault="00727F0D" w:rsidP="00727F0D">
      <w:pPr>
        <w:tabs>
          <w:tab w:val="left" w:pos="993"/>
        </w:tabs>
        <w:spacing w:line="240" w:lineRule="auto"/>
        <w:rPr>
          <w:szCs w:val="24"/>
        </w:rPr>
      </w:pPr>
    </w:p>
    <w:p w14:paraId="0780B496" w14:textId="7C744A28" w:rsidR="00727F0D" w:rsidRPr="00727F0D" w:rsidRDefault="00956B29" w:rsidP="00727F0D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>
        <w:rPr>
          <w:szCs w:val="24"/>
        </w:rPr>
        <w:t>По</w:t>
      </w:r>
      <w:r w:rsidR="00727F0D">
        <w:rPr>
          <w:szCs w:val="24"/>
        </w:rPr>
        <w:t xml:space="preserve"> модул „Постдокторанти“ </w:t>
      </w:r>
      <w:r>
        <w:rPr>
          <w:szCs w:val="24"/>
        </w:rPr>
        <w:t xml:space="preserve">на Програмата ще бъдат финансирани петима кандидати, всеки с по 12 000 лв. </w:t>
      </w:r>
    </w:p>
    <w:p w14:paraId="651D7978" w14:textId="77777777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510883">
        <w:rPr>
          <w:szCs w:val="24"/>
        </w:rPr>
        <w:t>Кандидатите за участие в Програмата по модул „</w:t>
      </w:r>
      <w:r w:rsidR="00510883">
        <w:rPr>
          <w:szCs w:val="24"/>
        </w:rPr>
        <w:t>М</w:t>
      </w:r>
      <w:r w:rsidRPr="00510883">
        <w:rPr>
          <w:szCs w:val="24"/>
        </w:rPr>
        <w:t xml:space="preserve">лади учени“ се предлагат от факултетните комисии. </w:t>
      </w:r>
    </w:p>
    <w:p w14:paraId="3BA3D66B" w14:textId="77777777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 xml:space="preserve">Факултетните комисии обявяват началото на конкурса, изискванията към кандидатите, необходимите документи и срокове. </w:t>
      </w:r>
    </w:p>
    <w:p w14:paraId="2ADE2169" w14:textId="77777777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lastRenderedPageBreak/>
        <w:t>След изтичане на срока, факултетните комисии разглеждат подадените документи, допускат до участие кандидатите, отговарящи на изискванията и ги класират.</w:t>
      </w:r>
    </w:p>
    <w:p w14:paraId="7E9B3820" w14:textId="77777777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>Факултетните комисии определят и финансовата подкрепа на участниците по модул „</w:t>
      </w:r>
      <w:r w:rsidR="0026346A">
        <w:rPr>
          <w:szCs w:val="24"/>
        </w:rPr>
        <w:t>М</w:t>
      </w:r>
      <w:r w:rsidRPr="0026346A">
        <w:rPr>
          <w:szCs w:val="24"/>
        </w:rPr>
        <w:t>лади учени“  според определената сума за факултета.</w:t>
      </w:r>
    </w:p>
    <w:p w14:paraId="2A73D151" w14:textId="77777777" w:rsidR="0026346A" w:rsidRDefault="0026346A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>
        <w:rPr>
          <w:szCs w:val="24"/>
        </w:rPr>
        <w:t>За</w:t>
      </w:r>
      <w:r w:rsidR="00CF35B9" w:rsidRPr="0026346A">
        <w:rPr>
          <w:szCs w:val="24"/>
        </w:rPr>
        <w:t xml:space="preserve"> всеки класиран кандидат се предлага и размер на финансовата подкрепа (месечна сума</w:t>
      </w:r>
      <w:r>
        <w:rPr>
          <w:szCs w:val="24"/>
        </w:rPr>
        <w:t xml:space="preserve"> за период не по-малък от</w:t>
      </w:r>
      <w:r w:rsidR="00CF35B9" w:rsidRPr="0026346A">
        <w:rPr>
          <w:szCs w:val="24"/>
        </w:rPr>
        <w:t xml:space="preserve"> 6 мес</w:t>
      </w:r>
      <w:r>
        <w:rPr>
          <w:szCs w:val="24"/>
        </w:rPr>
        <w:t>еца</w:t>
      </w:r>
      <w:r w:rsidR="00CF35B9" w:rsidRPr="0026346A">
        <w:rPr>
          <w:szCs w:val="24"/>
        </w:rPr>
        <w:t xml:space="preserve">). </w:t>
      </w:r>
    </w:p>
    <w:p w14:paraId="41DEED4A" w14:textId="77777777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 xml:space="preserve">Класираните кандидати от всеки факултет се предлагат на университетската </w:t>
      </w:r>
      <w:r w:rsidR="0026346A">
        <w:rPr>
          <w:szCs w:val="24"/>
        </w:rPr>
        <w:t>к</w:t>
      </w:r>
      <w:r w:rsidRPr="0026346A">
        <w:rPr>
          <w:szCs w:val="24"/>
        </w:rPr>
        <w:t>омисия. Към доклада с предложението се прилагат всички документи на кандидатите, както и протокол от заседанието, на което е проведено обсъждането.</w:t>
      </w:r>
    </w:p>
    <w:p w14:paraId="5D9BB063" w14:textId="77777777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 xml:space="preserve">След обсъждане на кандидатурите, университетската комисия предлага на Академичния съвет на ЛТУ да утвърди участниците по Програмата за </w:t>
      </w:r>
      <w:r w:rsidR="0026346A">
        <w:rPr>
          <w:szCs w:val="24"/>
        </w:rPr>
        <w:t xml:space="preserve">втория </w:t>
      </w:r>
      <w:r w:rsidRPr="0026346A">
        <w:rPr>
          <w:szCs w:val="24"/>
        </w:rPr>
        <w:t xml:space="preserve">етап. </w:t>
      </w:r>
    </w:p>
    <w:p w14:paraId="5FD060D8" w14:textId="77777777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>С утвърдените участници се сключва допълнително споразумение за финансовата подкрепа.</w:t>
      </w:r>
    </w:p>
    <w:p w14:paraId="06FF6E64" w14:textId="77777777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 xml:space="preserve">Един месец преди края на </w:t>
      </w:r>
      <w:r w:rsidR="0026346A">
        <w:rPr>
          <w:szCs w:val="24"/>
        </w:rPr>
        <w:t xml:space="preserve">втория </w:t>
      </w:r>
      <w:r w:rsidRPr="0026346A">
        <w:rPr>
          <w:szCs w:val="24"/>
        </w:rPr>
        <w:t>етап на Програмата</w:t>
      </w:r>
      <w:r w:rsidR="0026346A">
        <w:rPr>
          <w:szCs w:val="24"/>
        </w:rPr>
        <w:t>,</w:t>
      </w:r>
      <w:r w:rsidRPr="0026346A">
        <w:rPr>
          <w:szCs w:val="24"/>
        </w:rPr>
        <w:t xml:space="preserve"> участниците в Програмата подготвят отчет за изпълнението на задълженията и резюме на извършените изследвания. Отчетът се завежда в съответния деканат и към него се прилага доказателствен материал (копи</w:t>
      </w:r>
      <w:r w:rsidR="0026346A">
        <w:rPr>
          <w:szCs w:val="24"/>
        </w:rPr>
        <w:t>я</w:t>
      </w:r>
      <w:r w:rsidRPr="0026346A">
        <w:rPr>
          <w:szCs w:val="24"/>
        </w:rPr>
        <w:t xml:space="preserve"> от публикаци</w:t>
      </w:r>
      <w:r w:rsidR="0026346A">
        <w:rPr>
          <w:szCs w:val="24"/>
        </w:rPr>
        <w:t>и</w:t>
      </w:r>
      <w:r w:rsidRPr="0026346A">
        <w:rPr>
          <w:szCs w:val="24"/>
        </w:rPr>
        <w:t>, подаден</w:t>
      </w:r>
      <w:r w:rsidR="0026346A">
        <w:rPr>
          <w:szCs w:val="24"/>
        </w:rPr>
        <w:t>и</w:t>
      </w:r>
      <w:r w:rsidRPr="0026346A">
        <w:rPr>
          <w:szCs w:val="24"/>
        </w:rPr>
        <w:t xml:space="preserve"> заявк</w:t>
      </w:r>
      <w:r w:rsidR="0026346A">
        <w:rPr>
          <w:szCs w:val="24"/>
        </w:rPr>
        <w:t>и</w:t>
      </w:r>
      <w:r w:rsidRPr="0026346A">
        <w:rPr>
          <w:szCs w:val="24"/>
        </w:rPr>
        <w:t xml:space="preserve"> за патент, полезен модел и др.).</w:t>
      </w:r>
    </w:p>
    <w:p w14:paraId="54FCCC2A" w14:textId="77777777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 xml:space="preserve">Председателят на факултетната комисия изготвя обобщен доклад за изпълнението на задълженията на участниците от факултета и го представя на </w:t>
      </w:r>
      <w:r w:rsidR="0026346A">
        <w:rPr>
          <w:szCs w:val="24"/>
        </w:rPr>
        <w:t>п</w:t>
      </w:r>
      <w:r w:rsidRPr="0026346A">
        <w:rPr>
          <w:szCs w:val="24"/>
        </w:rPr>
        <w:t xml:space="preserve">редседателя на университетската комисия. Към отчетния доклад се прилагат отчетните документи на участниците. </w:t>
      </w:r>
    </w:p>
    <w:p w14:paraId="2E1A95B4" w14:textId="1AB20A05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 xml:space="preserve">Кандидатите за участие </w:t>
      </w:r>
      <w:r w:rsidR="0026346A">
        <w:rPr>
          <w:szCs w:val="24"/>
        </w:rPr>
        <w:t>в</w:t>
      </w:r>
      <w:r w:rsidRPr="0026346A">
        <w:rPr>
          <w:szCs w:val="24"/>
        </w:rPr>
        <w:t xml:space="preserve"> Програмата по модул „</w:t>
      </w:r>
      <w:r w:rsidR="0026346A">
        <w:rPr>
          <w:szCs w:val="24"/>
        </w:rPr>
        <w:t>П</w:t>
      </w:r>
      <w:r w:rsidRPr="0026346A">
        <w:rPr>
          <w:szCs w:val="24"/>
        </w:rPr>
        <w:t xml:space="preserve">остдокторанти“ </w:t>
      </w:r>
      <w:r w:rsidR="0026346A" w:rsidRPr="0026346A">
        <w:rPr>
          <w:szCs w:val="24"/>
        </w:rPr>
        <w:t>участват в конкурса с проектно предложение по актуална научна тема. Проектът трябва да бъде на високо научно ниво, да има детайлна работна програма и подробен финансов план</w:t>
      </w:r>
      <w:r w:rsidR="0026346A">
        <w:rPr>
          <w:szCs w:val="24"/>
        </w:rPr>
        <w:t>.</w:t>
      </w:r>
    </w:p>
    <w:p w14:paraId="505EA31F" w14:textId="77777777" w:rsidR="0026346A" w:rsidRDefault="0026346A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 xml:space="preserve">Кандидатите за финансова подкрепа </w:t>
      </w:r>
      <w:r>
        <w:rPr>
          <w:szCs w:val="24"/>
        </w:rPr>
        <w:t xml:space="preserve">по модул „Постдокторанти“ </w:t>
      </w:r>
      <w:r w:rsidR="00CF35B9" w:rsidRPr="0026346A">
        <w:rPr>
          <w:szCs w:val="24"/>
        </w:rPr>
        <w:t>подават своите документи чрез заявление до Ректора на ЛТУ, заведено в деловодството (стая 6, партерен етаж</w:t>
      </w:r>
      <w:r>
        <w:rPr>
          <w:szCs w:val="24"/>
        </w:rPr>
        <w:t>, централна сграда на ЛТУ</w:t>
      </w:r>
      <w:r w:rsidR="00CF35B9" w:rsidRPr="0026346A">
        <w:rPr>
          <w:szCs w:val="24"/>
        </w:rPr>
        <w:t>).</w:t>
      </w:r>
    </w:p>
    <w:p w14:paraId="21315415" w14:textId="77777777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>Документите на кандидатите по модул „</w:t>
      </w:r>
      <w:r w:rsidR="0026346A">
        <w:rPr>
          <w:szCs w:val="24"/>
        </w:rPr>
        <w:t>П</w:t>
      </w:r>
      <w:r w:rsidRPr="0026346A">
        <w:rPr>
          <w:szCs w:val="24"/>
        </w:rPr>
        <w:t>остдокторанти“ се разглеждат и обсъждат от университетската комисия по Програмата. Кандидатите се класират според критериите и изискванията, които са предварително оповестени. Класираните кандидати се предлагат за утвърждаване от А</w:t>
      </w:r>
      <w:r w:rsidR="0026346A">
        <w:rPr>
          <w:szCs w:val="24"/>
        </w:rPr>
        <w:t>кадемичния съвет</w:t>
      </w:r>
      <w:r w:rsidRPr="0026346A">
        <w:rPr>
          <w:szCs w:val="24"/>
        </w:rPr>
        <w:t xml:space="preserve"> на ЛТУ. </w:t>
      </w:r>
    </w:p>
    <w:p w14:paraId="767B3F98" w14:textId="0AE208B5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 xml:space="preserve">Един месец преди края на </w:t>
      </w:r>
      <w:r w:rsidR="0026346A">
        <w:rPr>
          <w:szCs w:val="24"/>
        </w:rPr>
        <w:t>втория</w:t>
      </w:r>
      <w:r w:rsidRPr="0026346A">
        <w:rPr>
          <w:szCs w:val="24"/>
        </w:rPr>
        <w:t xml:space="preserve"> етап</w:t>
      </w:r>
      <w:r w:rsidR="0026346A">
        <w:rPr>
          <w:szCs w:val="24"/>
        </w:rPr>
        <w:t xml:space="preserve"> на Програмата</w:t>
      </w:r>
      <w:r w:rsidRPr="0026346A">
        <w:rPr>
          <w:szCs w:val="24"/>
        </w:rPr>
        <w:t>, участниците по модул „</w:t>
      </w:r>
      <w:r w:rsidR="0026346A">
        <w:rPr>
          <w:szCs w:val="24"/>
        </w:rPr>
        <w:t>П</w:t>
      </w:r>
      <w:r w:rsidRPr="0026346A">
        <w:rPr>
          <w:szCs w:val="24"/>
        </w:rPr>
        <w:t xml:space="preserve">остдокторанти“ изготвят обобщен доклад за </w:t>
      </w:r>
      <w:r w:rsidR="0026346A">
        <w:rPr>
          <w:szCs w:val="24"/>
        </w:rPr>
        <w:t xml:space="preserve">извършената от тях </w:t>
      </w:r>
      <w:r w:rsidRPr="0026346A">
        <w:rPr>
          <w:szCs w:val="24"/>
        </w:rPr>
        <w:t>работа по Програмата и го внасят за обсъждане в университетската комисия. Към доклада се прилагат резюме на резултатите от проектната дейност и доказателствен материал (копи</w:t>
      </w:r>
      <w:r w:rsidR="0026346A">
        <w:rPr>
          <w:szCs w:val="24"/>
        </w:rPr>
        <w:t>я</w:t>
      </w:r>
      <w:r w:rsidRPr="0026346A">
        <w:rPr>
          <w:szCs w:val="24"/>
        </w:rPr>
        <w:t xml:space="preserve"> от публикаци</w:t>
      </w:r>
      <w:r w:rsidR="0026346A">
        <w:rPr>
          <w:szCs w:val="24"/>
        </w:rPr>
        <w:t>и</w:t>
      </w:r>
      <w:r w:rsidRPr="0026346A">
        <w:rPr>
          <w:szCs w:val="24"/>
        </w:rPr>
        <w:t xml:space="preserve"> в списани</w:t>
      </w:r>
      <w:r w:rsidR="0026346A">
        <w:rPr>
          <w:szCs w:val="24"/>
        </w:rPr>
        <w:t xml:space="preserve">я с </w:t>
      </w:r>
      <w:r w:rsidRPr="0026346A">
        <w:rPr>
          <w:szCs w:val="24"/>
          <w:lang w:val="en-US"/>
        </w:rPr>
        <w:t>IF</w:t>
      </w:r>
      <w:r w:rsidRPr="0026346A">
        <w:rPr>
          <w:szCs w:val="24"/>
          <w:lang w:val="ru-RU"/>
        </w:rPr>
        <w:t xml:space="preserve"> </w:t>
      </w:r>
      <w:r w:rsidRPr="0026346A">
        <w:rPr>
          <w:szCs w:val="24"/>
        </w:rPr>
        <w:t xml:space="preserve">или </w:t>
      </w:r>
      <w:r w:rsidRPr="0026346A">
        <w:rPr>
          <w:szCs w:val="24"/>
          <w:lang w:val="en-US"/>
        </w:rPr>
        <w:t>SJR</w:t>
      </w:r>
      <w:r w:rsidRPr="0026346A">
        <w:rPr>
          <w:szCs w:val="24"/>
          <w:lang w:val="ru-RU"/>
        </w:rPr>
        <w:t xml:space="preserve">, </w:t>
      </w:r>
      <w:r w:rsidRPr="0026346A">
        <w:rPr>
          <w:szCs w:val="24"/>
        </w:rPr>
        <w:t>копи</w:t>
      </w:r>
      <w:r w:rsidR="0026346A">
        <w:rPr>
          <w:szCs w:val="24"/>
        </w:rPr>
        <w:t>я</w:t>
      </w:r>
      <w:r w:rsidRPr="0026346A">
        <w:rPr>
          <w:szCs w:val="24"/>
        </w:rPr>
        <w:t xml:space="preserve"> от заявк</w:t>
      </w:r>
      <w:r w:rsidR="0026346A">
        <w:rPr>
          <w:szCs w:val="24"/>
        </w:rPr>
        <w:t>и</w:t>
      </w:r>
      <w:r w:rsidRPr="0026346A">
        <w:rPr>
          <w:szCs w:val="24"/>
        </w:rPr>
        <w:t xml:space="preserve"> за патент, полезен модел и др.).</w:t>
      </w:r>
    </w:p>
    <w:p w14:paraId="1C74AFFE" w14:textId="343EB54A" w:rsidR="00DC2519" w:rsidRDefault="00DC251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DC2519">
        <w:rPr>
          <w:szCs w:val="24"/>
        </w:rPr>
        <w:t>Към публикациите, разработени в резултат на работата по Програмата, задължително се изписват благодарности. Примерен текст: „Това изследване е подкрепено от Министерство на образованието и науката по Национална програма „Млади учени и постдокторанти – 2“/This research is supported by the Bulgarian Ministry of Education and Science under the National Program “Young Scientists and Postdoctoral Students – 2“.</w:t>
      </w:r>
    </w:p>
    <w:p w14:paraId="053FC1C0" w14:textId="77777777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lastRenderedPageBreak/>
        <w:t xml:space="preserve">Университетската </w:t>
      </w:r>
      <w:r w:rsidR="0026346A">
        <w:rPr>
          <w:szCs w:val="24"/>
        </w:rPr>
        <w:t>к</w:t>
      </w:r>
      <w:r w:rsidRPr="0026346A">
        <w:rPr>
          <w:szCs w:val="24"/>
        </w:rPr>
        <w:t>омисия разглежда отчетите на участниците и прави предложение до А</w:t>
      </w:r>
      <w:r w:rsidR="0026346A">
        <w:rPr>
          <w:szCs w:val="24"/>
        </w:rPr>
        <w:t>кадемичния съвет</w:t>
      </w:r>
      <w:r w:rsidRPr="0026346A">
        <w:rPr>
          <w:szCs w:val="24"/>
        </w:rPr>
        <w:t xml:space="preserve"> на ЛТУ да приеме работата им за </w:t>
      </w:r>
      <w:r w:rsidR="0026346A">
        <w:rPr>
          <w:szCs w:val="24"/>
        </w:rPr>
        <w:t>втория етап на Програмата</w:t>
      </w:r>
      <w:r w:rsidRPr="0026346A">
        <w:rPr>
          <w:szCs w:val="24"/>
        </w:rPr>
        <w:t>.</w:t>
      </w:r>
    </w:p>
    <w:p w14:paraId="69810A34" w14:textId="2EC873CC" w:rsidR="0026346A" w:rsidRDefault="00CF35B9" w:rsidP="0026346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>След обсъждане и приемане на работата по Програмата, университетската</w:t>
      </w:r>
      <w:r w:rsidR="0026346A">
        <w:rPr>
          <w:szCs w:val="24"/>
        </w:rPr>
        <w:t xml:space="preserve"> к</w:t>
      </w:r>
      <w:r w:rsidRPr="0026346A">
        <w:rPr>
          <w:szCs w:val="24"/>
        </w:rPr>
        <w:t>омисия изготвя обобщен отчет</w:t>
      </w:r>
      <w:r w:rsidR="009D72A9">
        <w:rPr>
          <w:szCs w:val="24"/>
        </w:rPr>
        <w:t>, придружен от съответните</w:t>
      </w:r>
      <w:r w:rsidRPr="0026346A">
        <w:rPr>
          <w:szCs w:val="24"/>
        </w:rPr>
        <w:t xml:space="preserve"> финансови документи и го </w:t>
      </w:r>
      <w:r w:rsidR="009D72A9">
        <w:rPr>
          <w:szCs w:val="24"/>
        </w:rPr>
        <w:t>подава към Министерството на образованието и науката</w:t>
      </w:r>
      <w:r w:rsidR="00533565">
        <w:rPr>
          <w:szCs w:val="24"/>
        </w:rPr>
        <w:t xml:space="preserve"> </w:t>
      </w:r>
      <w:r w:rsidR="00533565">
        <w:rPr>
          <w:szCs w:val="24"/>
          <w:lang w:val="en-US"/>
        </w:rPr>
        <w:t>(</w:t>
      </w:r>
      <w:r w:rsidR="00533565">
        <w:rPr>
          <w:szCs w:val="24"/>
        </w:rPr>
        <w:t>МОН</w:t>
      </w:r>
      <w:r w:rsidR="00533565">
        <w:rPr>
          <w:szCs w:val="24"/>
          <w:lang w:val="en-US"/>
        </w:rPr>
        <w:t>)</w:t>
      </w:r>
      <w:r w:rsidR="009D72A9">
        <w:rPr>
          <w:szCs w:val="24"/>
        </w:rPr>
        <w:t>.</w:t>
      </w:r>
      <w:r w:rsidRPr="0026346A">
        <w:rPr>
          <w:szCs w:val="24"/>
        </w:rPr>
        <w:t xml:space="preserve"> </w:t>
      </w:r>
    </w:p>
    <w:p w14:paraId="7F9102B6" w14:textId="77777777" w:rsidR="00533565" w:rsidRDefault="00CF35B9" w:rsidP="00533565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 w:rsidRPr="0026346A">
        <w:rPr>
          <w:szCs w:val="24"/>
        </w:rPr>
        <w:t xml:space="preserve">Одобрението на отчета от </w:t>
      </w:r>
      <w:r w:rsidR="00533565">
        <w:rPr>
          <w:szCs w:val="24"/>
        </w:rPr>
        <w:t>страна на</w:t>
      </w:r>
      <w:r w:rsidRPr="0026346A">
        <w:rPr>
          <w:szCs w:val="24"/>
        </w:rPr>
        <w:t xml:space="preserve"> МОН означава верифициране на средствата, отпуснати на ЛТУ за </w:t>
      </w:r>
      <w:r w:rsidR="00533565">
        <w:rPr>
          <w:szCs w:val="24"/>
        </w:rPr>
        <w:t>втория</w:t>
      </w:r>
      <w:r w:rsidRPr="0026346A">
        <w:rPr>
          <w:szCs w:val="24"/>
        </w:rPr>
        <w:t xml:space="preserve"> етап. </w:t>
      </w:r>
    </w:p>
    <w:p w14:paraId="167995EC" w14:textId="77777777" w:rsidR="00071E38" w:rsidRDefault="00533565" w:rsidP="00071E38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>
        <w:rPr>
          <w:szCs w:val="24"/>
        </w:rPr>
        <w:t>Финансовите с</w:t>
      </w:r>
      <w:r w:rsidR="00CF35B9" w:rsidRPr="00533565">
        <w:rPr>
          <w:szCs w:val="24"/>
        </w:rPr>
        <w:t>редства, отпуснати на участници, които не са изпълнили задълженията си, се връщат обратно в МОН, а съответните суми се възстановяват по сметка в ЛТУ от неизрядни</w:t>
      </w:r>
      <w:r w:rsidR="00071E38">
        <w:rPr>
          <w:szCs w:val="24"/>
        </w:rPr>
        <w:t>те</w:t>
      </w:r>
      <w:r w:rsidR="00CF35B9" w:rsidRPr="00533565">
        <w:rPr>
          <w:szCs w:val="24"/>
        </w:rPr>
        <w:t xml:space="preserve"> кандидати.</w:t>
      </w:r>
    </w:p>
    <w:p w14:paraId="4697C9B0" w14:textId="58D6BC67" w:rsidR="00CF35B9" w:rsidRPr="00071E38" w:rsidRDefault="00071E38" w:rsidP="00071E38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rPr>
          <w:szCs w:val="24"/>
        </w:rPr>
      </w:pPr>
      <w:r>
        <w:rPr>
          <w:szCs w:val="24"/>
        </w:rPr>
        <w:t>Всички н</w:t>
      </w:r>
      <w:r w:rsidR="00CF35B9" w:rsidRPr="00071E38">
        <w:rPr>
          <w:szCs w:val="24"/>
        </w:rPr>
        <w:t xml:space="preserve">еизяснени въпроси, възникнали </w:t>
      </w:r>
      <w:r w:rsidR="007F2492" w:rsidRPr="00071E38">
        <w:rPr>
          <w:szCs w:val="24"/>
        </w:rPr>
        <w:t>при кандидати</w:t>
      </w:r>
      <w:r>
        <w:rPr>
          <w:szCs w:val="24"/>
        </w:rPr>
        <w:t xml:space="preserve"> за участие в Програмата</w:t>
      </w:r>
      <w:r w:rsidR="007F2492" w:rsidRPr="00071E38">
        <w:rPr>
          <w:szCs w:val="24"/>
        </w:rPr>
        <w:t xml:space="preserve"> по модул “</w:t>
      </w:r>
      <w:r w:rsidR="0026346A" w:rsidRPr="00071E38">
        <w:rPr>
          <w:szCs w:val="24"/>
        </w:rPr>
        <w:t>М</w:t>
      </w:r>
      <w:r w:rsidR="007F2492" w:rsidRPr="00071E38">
        <w:rPr>
          <w:szCs w:val="24"/>
        </w:rPr>
        <w:t>лади учени“ се решават от факултетните комисии, а тези по модул „</w:t>
      </w:r>
      <w:r w:rsidR="0026346A" w:rsidRPr="00071E38">
        <w:rPr>
          <w:szCs w:val="24"/>
        </w:rPr>
        <w:t>П</w:t>
      </w:r>
      <w:r w:rsidR="007F2492" w:rsidRPr="00071E38">
        <w:rPr>
          <w:szCs w:val="24"/>
        </w:rPr>
        <w:t>остдокторанти</w:t>
      </w:r>
      <w:r w:rsidR="0026346A" w:rsidRPr="00071E38">
        <w:rPr>
          <w:szCs w:val="24"/>
        </w:rPr>
        <w:t>“</w:t>
      </w:r>
      <w:r w:rsidR="007F2492" w:rsidRPr="00071E38">
        <w:rPr>
          <w:szCs w:val="24"/>
        </w:rPr>
        <w:t xml:space="preserve"> – от университетската комисия.</w:t>
      </w:r>
    </w:p>
    <w:p w14:paraId="30765FB3" w14:textId="77777777" w:rsidR="00CF35B9" w:rsidRDefault="00CF35B9" w:rsidP="00A74C25">
      <w:pPr>
        <w:rPr>
          <w:b/>
        </w:rPr>
      </w:pPr>
    </w:p>
    <w:p w14:paraId="484219C3" w14:textId="77777777" w:rsidR="00CF35B9" w:rsidRDefault="00CF35B9" w:rsidP="00A74C25">
      <w:pPr>
        <w:rPr>
          <w:b/>
        </w:rPr>
      </w:pPr>
      <w:r>
        <w:rPr>
          <w:b/>
        </w:rPr>
        <w:t>Общи положения</w:t>
      </w:r>
    </w:p>
    <w:p w14:paraId="2AE32F79" w14:textId="77777777" w:rsidR="00CF35B9" w:rsidRDefault="00CF35B9" w:rsidP="007F2492">
      <w:pPr>
        <w:spacing w:line="240" w:lineRule="auto"/>
        <w:rPr>
          <w:rFonts w:eastAsia="Calibri"/>
          <w:szCs w:val="24"/>
        </w:rPr>
      </w:pPr>
      <w:r w:rsidRPr="006D678D">
        <w:rPr>
          <w:rFonts w:eastAsia="Calibri"/>
          <w:szCs w:val="24"/>
        </w:rPr>
        <w:t xml:space="preserve">Право за участие в програмата имат млади учени и постдокторанти, определени от </w:t>
      </w:r>
      <w:r w:rsidRPr="006A41E1">
        <w:rPr>
          <w:rFonts w:eastAsia="Calibri"/>
          <w:bCs/>
          <w:szCs w:val="24"/>
        </w:rPr>
        <w:t xml:space="preserve">бенефициентите </w:t>
      </w:r>
      <w:r w:rsidRPr="006D678D">
        <w:rPr>
          <w:rFonts w:eastAsia="Calibri"/>
          <w:szCs w:val="24"/>
        </w:rPr>
        <w:t>– акредитирани държавни висши училища и научни организации, имащи интензивност на научната продукция (брой публикации на учен) за последните три завършени календарни години, съгласно информацията в базите данни Web of Science и/или Scopus над единица</w:t>
      </w:r>
      <w:r>
        <w:rPr>
          <w:rFonts w:eastAsia="Calibri"/>
          <w:szCs w:val="24"/>
        </w:rPr>
        <w:t>.</w:t>
      </w:r>
    </w:p>
    <w:p w14:paraId="68A1026E" w14:textId="77777777" w:rsidR="00CF35B9" w:rsidRDefault="00CF35B9" w:rsidP="007F2492">
      <w:pPr>
        <w:spacing w:line="240" w:lineRule="auto"/>
        <w:rPr>
          <w:rFonts w:eastAsia="Calibri"/>
          <w:szCs w:val="24"/>
        </w:rPr>
      </w:pPr>
    </w:p>
    <w:p w14:paraId="56D63421" w14:textId="0057A101" w:rsidR="00CF35B9" w:rsidRPr="006D678D" w:rsidRDefault="00CF35B9" w:rsidP="007F2492">
      <w:pPr>
        <w:spacing w:after="160" w:line="240" w:lineRule="auto"/>
        <w:rPr>
          <w:rFonts w:eastAsia="Calibri"/>
          <w:szCs w:val="24"/>
        </w:rPr>
      </w:pPr>
      <w:r w:rsidRPr="006D678D">
        <w:rPr>
          <w:rFonts w:eastAsia="Calibri"/>
          <w:b/>
          <w:szCs w:val="24"/>
        </w:rPr>
        <w:t>Млади учени</w:t>
      </w:r>
      <w:r w:rsidRPr="006D678D">
        <w:rPr>
          <w:rFonts w:eastAsia="Calibri"/>
          <w:szCs w:val="24"/>
        </w:rPr>
        <w:t xml:space="preserve"> са лица, които извършват научноизследователска и научно-образователна дейност във висши училища и/или научни организации след придобиване на първа образователно-квалификационна степен </w:t>
      </w:r>
      <w:r w:rsidR="00510883">
        <w:rPr>
          <w:rFonts w:eastAsia="Calibri"/>
          <w:szCs w:val="24"/>
        </w:rPr>
        <w:t>„</w:t>
      </w:r>
      <w:r w:rsidRPr="006D678D">
        <w:rPr>
          <w:rFonts w:eastAsia="Calibri"/>
          <w:szCs w:val="24"/>
        </w:rPr>
        <w:t>магистър</w:t>
      </w:r>
      <w:r w:rsidR="00510883">
        <w:rPr>
          <w:rFonts w:eastAsia="Calibri"/>
          <w:szCs w:val="24"/>
        </w:rPr>
        <w:t>“</w:t>
      </w:r>
      <w:r w:rsidRPr="006D678D">
        <w:rPr>
          <w:rFonts w:eastAsia="Calibri"/>
          <w:szCs w:val="24"/>
        </w:rPr>
        <w:t xml:space="preserve">, но не повече от 10 години след придобиването й. </w:t>
      </w:r>
      <w:r w:rsidR="00FE42EB">
        <w:rPr>
          <w:rFonts w:eastAsia="Calibri"/>
          <w:szCs w:val="24"/>
        </w:rPr>
        <w:t>Датата на придобиване на магистърска степен се счита от датата на протокола на Държавната изпитна комисия.</w:t>
      </w:r>
    </w:p>
    <w:p w14:paraId="3213584D" w14:textId="5C96264E" w:rsidR="00CF35B9" w:rsidRPr="00F236D0" w:rsidRDefault="00CF35B9" w:rsidP="00F236D0">
      <w:pPr>
        <w:spacing w:after="160" w:line="240" w:lineRule="auto"/>
        <w:rPr>
          <w:rFonts w:eastAsia="Calibri"/>
          <w:szCs w:val="24"/>
        </w:rPr>
      </w:pPr>
      <w:r w:rsidRPr="006D678D">
        <w:rPr>
          <w:rFonts w:eastAsia="Calibri"/>
          <w:b/>
          <w:szCs w:val="24"/>
        </w:rPr>
        <w:t>Постодокторанти</w:t>
      </w:r>
      <w:r w:rsidRPr="006D678D">
        <w:rPr>
          <w:rFonts w:eastAsia="Calibri"/>
          <w:szCs w:val="24"/>
        </w:rPr>
        <w:t xml:space="preserve"> са учени, придобили образователна и научна степен </w:t>
      </w:r>
      <w:r w:rsidR="00510883">
        <w:rPr>
          <w:rFonts w:eastAsia="Calibri"/>
          <w:szCs w:val="24"/>
        </w:rPr>
        <w:t>„</w:t>
      </w:r>
      <w:r w:rsidRPr="006D678D">
        <w:rPr>
          <w:rFonts w:eastAsia="Calibri"/>
          <w:szCs w:val="24"/>
        </w:rPr>
        <w:t>доктор</w:t>
      </w:r>
      <w:r w:rsidR="00510883">
        <w:rPr>
          <w:rFonts w:eastAsia="Calibri"/>
          <w:szCs w:val="24"/>
        </w:rPr>
        <w:t>“</w:t>
      </w:r>
      <w:r w:rsidRPr="006D678D">
        <w:rPr>
          <w:rFonts w:eastAsia="Calibri"/>
          <w:szCs w:val="24"/>
        </w:rPr>
        <w:t xml:space="preserve">, но не повече от 5 години след придобиването й. </w:t>
      </w:r>
      <w:r w:rsidR="00FE42EB">
        <w:rPr>
          <w:rFonts w:eastAsia="Calibri"/>
          <w:szCs w:val="24"/>
        </w:rPr>
        <w:t>Съгласно Закона за развитие на академичния състав в Република България об</w:t>
      </w:r>
      <w:r w:rsidR="00FE42EB" w:rsidRPr="00FE42EB">
        <w:rPr>
          <w:rFonts w:eastAsia="Calibri"/>
          <w:szCs w:val="24"/>
        </w:rPr>
        <w:t xml:space="preserve">разователната и научна степен </w:t>
      </w:r>
      <w:r w:rsidR="00FE42EB">
        <w:rPr>
          <w:rFonts w:eastAsia="Calibri"/>
          <w:szCs w:val="24"/>
        </w:rPr>
        <w:t>„</w:t>
      </w:r>
      <w:r w:rsidR="00FE42EB" w:rsidRPr="00FE42EB">
        <w:rPr>
          <w:rFonts w:eastAsia="Calibri"/>
          <w:szCs w:val="24"/>
        </w:rPr>
        <w:t>доктор</w:t>
      </w:r>
      <w:r w:rsidR="00FE42EB">
        <w:rPr>
          <w:rFonts w:eastAsia="Calibri"/>
          <w:szCs w:val="24"/>
        </w:rPr>
        <w:t xml:space="preserve">“ </w:t>
      </w:r>
      <w:r w:rsidR="00FE42EB" w:rsidRPr="00FE42EB">
        <w:rPr>
          <w:rFonts w:eastAsia="Calibri"/>
          <w:szCs w:val="24"/>
        </w:rPr>
        <w:t>се придобива от деня, в който дисертационният труд е защитен успешно.</w:t>
      </w:r>
    </w:p>
    <w:p w14:paraId="539FC3B3" w14:textId="37700335" w:rsidR="00CF35B9" w:rsidRDefault="00CF35B9" w:rsidP="007F2492">
      <w:pPr>
        <w:spacing w:line="240" w:lineRule="auto"/>
        <w:rPr>
          <w:rFonts w:eastAsia="Calibri"/>
          <w:i/>
          <w:szCs w:val="24"/>
        </w:rPr>
      </w:pPr>
      <w:r>
        <w:rPr>
          <w:rFonts w:eastAsia="Calibri"/>
          <w:b/>
          <w:i/>
          <w:szCs w:val="24"/>
        </w:rPr>
        <w:t>ВАЖНО!!!</w:t>
      </w:r>
      <w:r w:rsidR="00F81296">
        <w:rPr>
          <w:rFonts w:eastAsia="Calibri"/>
          <w:b/>
          <w:i/>
          <w:szCs w:val="24"/>
          <w:lang w:val="en-US"/>
        </w:rPr>
        <w:t xml:space="preserve"> </w:t>
      </w:r>
      <w:r>
        <w:rPr>
          <w:rFonts w:eastAsia="Calibri"/>
          <w:i/>
          <w:szCs w:val="24"/>
        </w:rPr>
        <w:t xml:space="preserve">Избраните участници по </w:t>
      </w:r>
      <w:r w:rsidR="00FE42EB">
        <w:rPr>
          <w:rFonts w:eastAsia="Calibri"/>
          <w:i/>
          <w:szCs w:val="24"/>
        </w:rPr>
        <w:t xml:space="preserve">двата модула на </w:t>
      </w:r>
      <w:r>
        <w:rPr>
          <w:rFonts w:eastAsia="Calibri"/>
          <w:i/>
          <w:szCs w:val="24"/>
        </w:rPr>
        <w:t xml:space="preserve">Програмата трябва да отговарят на </w:t>
      </w:r>
      <w:r w:rsidR="00FE42EB">
        <w:rPr>
          <w:rFonts w:eastAsia="Calibri"/>
          <w:i/>
          <w:szCs w:val="24"/>
        </w:rPr>
        <w:t>определенията</w:t>
      </w:r>
      <w:r>
        <w:rPr>
          <w:rFonts w:eastAsia="Calibri"/>
          <w:i/>
          <w:szCs w:val="24"/>
        </w:rPr>
        <w:t xml:space="preserve"> за млад учен или постдокторант </w:t>
      </w:r>
      <w:r w:rsidR="00FE42EB">
        <w:rPr>
          <w:rFonts w:eastAsia="Calibri"/>
          <w:i/>
          <w:szCs w:val="24"/>
        </w:rPr>
        <w:t xml:space="preserve">за целия период на участието им в Програмата. </w:t>
      </w:r>
    </w:p>
    <w:sectPr w:rsidR="00CF35B9" w:rsidSect="00B50186">
      <w:footerReference w:type="default" r:id="rId7"/>
      <w:pgSz w:w="11906" w:h="16838" w:code="9"/>
      <w:pgMar w:top="1440" w:right="1440" w:bottom="1276" w:left="144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A8CE" w14:textId="77777777" w:rsidR="001E29D2" w:rsidRDefault="001E29D2" w:rsidP="00B50186">
      <w:pPr>
        <w:spacing w:line="240" w:lineRule="auto"/>
      </w:pPr>
      <w:r>
        <w:separator/>
      </w:r>
    </w:p>
  </w:endnote>
  <w:endnote w:type="continuationSeparator" w:id="0">
    <w:p w14:paraId="26AD5601" w14:textId="77777777" w:rsidR="001E29D2" w:rsidRDefault="001E29D2" w:rsidP="00B501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568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F7F89" w14:textId="06A56796" w:rsidR="00B50186" w:rsidRDefault="00B501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86849A" w14:textId="77777777" w:rsidR="00B50186" w:rsidRDefault="00B50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357A" w14:textId="77777777" w:rsidR="001E29D2" w:rsidRDefault="001E29D2" w:rsidP="00B50186">
      <w:pPr>
        <w:spacing w:line="240" w:lineRule="auto"/>
      </w:pPr>
      <w:r>
        <w:separator/>
      </w:r>
    </w:p>
  </w:footnote>
  <w:footnote w:type="continuationSeparator" w:id="0">
    <w:p w14:paraId="5CB132F1" w14:textId="77777777" w:rsidR="001E29D2" w:rsidRDefault="001E29D2" w:rsidP="00B501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952"/>
    <w:multiLevelType w:val="hybridMultilevel"/>
    <w:tmpl w:val="A962BD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F4E77"/>
    <w:multiLevelType w:val="hybridMultilevel"/>
    <w:tmpl w:val="D138D9FC"/>
    <w:lvl w:ilvl="0" w:tplc="374E3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15481D"/>
    <w:multiLevelType w:val="hybridMultilevel"/>
    <w:tmpl w:val="C6A64556"/>
    <w:lvl w:ilvl="0" w:tplc="1848F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E1ADA"/>
    <w:multiLevelType w:val="hybridMultilevel"/>
    <w:tmpl w:val="B6CE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2548"/>
    <w:multiLevelType w:val="hybridMultilevel"/>
    <w:tmpl w:val="E3ACBBE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361839"/>
    <w:multiLevelType w:val="hybridMultilevel"/>
    <w:tmpl w:val="E20A16CE"/>
    <w:lvl w:ilvl="0" w:tplc="5F06C4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63751"/>
    <w:multiLevelType w:val="hybridMultilevel"/>
    <w:tmpl w:val="B6263FC2"/>
    <w:lvl w:ilvl="0" w:tplc="728E29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2694A"/>
    <w:multiLevelType w:val="multilevel"/>
    <w:tmpl w:val="25F6B9C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E9C7AE6"/>
    <w:multiLevelType w:val="hybridMultilevel"/>
    <w:tmpl w:val="FD8C68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3E"/>
    <w:rsid w:val="00071E38"/>
    <w:rsid w:val="001569B6"/>
    <w:rsid w:val="00180DED"/>
    <w:rsid w:val="001E29D2"/>
    <w:rsid w:val="0026346A"/>
    <w:rsid w:val="003C553B"/>
    <w:rsid w:val="00510883"/>
    <w:rsid w:val="00520B8D"/>
    <w:rsid w:val="00533565"/>
    <w:rsid w:val="0054375A"/>
    <w:rsid w:val="005C443B"/>
    <w:rsid w:val="0060065C"/>
    <w:rsid w:val="00620153"/>
    <w:rsid w:val="00640F53"/>
    <w:rsid w:val="006A41E1"/>
    <w:rsid w:val="00727F0D"/>
    <w:rsid w:val="007B393E"/>
    <w:rsid w:val="007F2492"/>
    <w:rsid w:val="00844B18"/>
    <w:rsid w:val="00956B29"/>
    <w:rsid w:val="009D4919"/>
    <w:rsid w:val="009D72A9"/>
    <w:rsid w:val="00A32DE3"/>
    <w:rsid w:val="00A3428B"/>
    <w:rsid w:val="00A611F9"/>
    <w:rsid w:val="00AD022C"/>
    <w:rsid w:val="00AD77D0"/>
    <w:rsid w:val="00AF5815"/>
    <w:rsid w:val="00B50186"/>
    <w:rsid w:val="00CF35B9"/>
    <w:rsid w:val="00DC2519"/>
    <w:rsid w:val="00E84DF3"/>
    <w:rsid w:val="00ED28B6"/>
    <w:rsid w:val="00F236D0"/>
    <w:rsid w:val="00F81296"/>
    <w:rsid w:val="00FE10D2"/>
    <w:rsid w:val="00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64C8"/>
  <w15:chartTrackingRefBased/>
  <w15:docId w15:val="{DFCF0580-7A7B-4AA9-816C-744CA364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5B9"/>
    <w:pPr>
      <w:keepNext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4B18"/>
    <w:pPr>
      <w:keepNext/>
      <w:spacing w:before="240" w:after="60" w:line="259" w:lineRule="auto"/>
      <w:outlineLvl w:val="1"/>
    </w:pPr>
    <w:rPr>
      <w:rFonts w:asciiTheme="majorHAnsi" w:eastAsiaTheme="majorEastAsia" w:hAnsiTheme="majorHAnsi" w:cstheme="majorBidi"/>
      <w:b/>
      <w:bCs/>
      <w:i/>
      <w:iCs/>
      <w:shadow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5B9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B18"/>
    <w:rPr>
      <w:rFonts w:asciiTheme="majorHAnsi" w:eastAsiaTheme="majorEastAsia" w:hAnsiTheme="majorHAnsi" w:cstheme="majorBidi"/>
      <w:b/>
      <w:bCs/>
      <w:i/>
      <w:iCs/>
      <w:shadow/>
      <w:color w:val="0070C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F35B9"/>
    <w:rPr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CF35B9"/>
    <w:rPr>
      <w:b/>
    </w:rPr>
  </w:style>
  <w:style w:type="paragraph" w:styleId="BodyText">
    <w:name w:val="Body Text"/>
    <w:basedOn w:val="Normal"/>
    <w:link w:val="BodyTextChar"/>
    <w:uiPriority w:val="99"/>
    <w:unhideWhenUsed/>
    <w:rsid w:val="00CF35B9"/>
    <w:pPr>
      <w:spacing w:line="240" w:lineRule="auto"/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CF35B9"/>
  </w:style>
  <w:style w:type="paragraph" w:styleId="ListParagraph">
    <w:name w:val="List Paragraph"/>
    <w:basedOn w:val="Normal"/>
    <w:uiPriority w:val="34"/>
    <w:qFormat/>
    <w:rsid w:val="00CF3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5B9"/>
    <w:pPr>
      <w:tabs>
        <w:tab w:val="center" w:pos="4703"/>
        <w:tab w:val="right" w:pos="9406"/>
      </w:tabs>
      <w:spacing w:line="240" w:lineRule="auto"/>
      <w:jc w:val="left"/>
    </w:pPr>
    <w:rPr>
      <w:rFonts w:asciiTheme="minorHAnsi" w:hAnsiTheme="minorHAnsi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F35B9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35B9"/>
    <w:pPr>
      <w:tabs>
        <w:tab w:val="center" w:pos="4703"/>
        <w:tab w:val="right" w:pos="9406"/>
      </w:tabs>
      <w:spacing w:line="240" w:lineRule="auto"/>
      <w:jc w:val="left"/>
    </w:pPr>
    <w:rPr>
      <w:rFonts w:asciiTheme="minorHAnsi" w:hAnsiTheme="minorHAns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F35B9"/>
    <w:rPr>
      <w:rFonts w:asciiTheme="minorHAnsi" w:hAnsiTheme="minorHAnsi"/>
      <w:sz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CF35B9"/>
    <w:pPr>
      <w:spacing w:line="240" w:lineRule="auto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35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Neno Trichkov</dc:creator>
  <cp:keywords/>
  <dc:description/>
  <cp:lastModifiedBy>Petar Antov</cp:lastModifiedBy>
  <cp:revision>16</cp:revision>
  <dcterms:created xsi:type="dcterms:W3CDTF">2024-09-13T13:13:00Z</dcterms:created>
  <dcterms:modified xsi:type="dcterms:W3CDTF">2024-09-18T07:08:00Z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137814b7-0213-4b83-a455-e9f3825ceb5b</vt:lpwstr>
  </property>
</Properties>
</file>